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1. Open NetUpgradeTool_V1.8EN.exe, enter the password, and click OK. Then enter the IP address and click OK.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object w:dxaOrig="8303" w:dyaOrig="5051">
          <v:rect xmlns:o="urn:schemas-microsoft-com:office:office" xmlns:v="urn:schemas-microsoft-com:vml" id="rectole0000000000" style="width:415.150000pt;height:252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Dib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  <w:t xml:space="preserve">2.Open the provided upgrade file and click Upgrade. If the sub-progress reaches 100%, the upgrade succeeds.</w: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object w:dxaOrig="8303" w:dyaOrig="5195">
          <v:rect xmlns:o="urn:schemas-microsoft-com:office:office" xmlns:v="urn:schemas-microsoft-com:vml" id="rectole0000000001" style="width:415.150000pt;height:259.7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Dib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media/image1.wmf" Id="docRId3" Type="http://schemas.openxmlformats.org/officeDocument/2006/relationships/image" /><Relationship Target="styles.xml" Id="docRId5" Type="http://schemas.openxmlformats.org/officeDocument/2006/relationships/styles" /><Relationship Target="embeddings/oleObject0.bin" Id="docRId0" Type="http://schemas.openxmlformats.org/officeDocument/2006/relationships/oleObject" /><Relationship Target="embeddings/oleObject1.bin" Id="docRId2" Type="http://schemas.openxmlformats.org/officeDocument/2006/relationships/oleObject" /><Relationship Target="numbering.xml" Id="docRId4" Type="http://schemas.openxmlformats.org/officeDocument/2006/relationships/numbering" /></Relationships>
</file>